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52775B" w14:textId="596F50C7" w:rsidR="004B7B3A" w:rsidRDefault="005C35C1">
      <w:pPr>
        <w:kinsoku w:val="0"/>
        <w:overflowPunct w:val="0"/>
        <w:spacing w:line="480" w:lineRule="auto"/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A218FB6" wp14:editId="103196B5">
            <wp:simplePos x="0" y="0"/>
            <wp:positionH relativeFrom="column">
              <wp:posOffset>38100</wp:posOffset>
            </wp:positionH>
            <wp:positionV relativeFrom="paragraph">
              <wp:posOffset>175260</wp:posOffset>
            </wp:positionV>
            <wp:extent cx="5274310" cy="6290310"/>
            <wp:effectExtent l="0" t="0" r="2540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290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  <w:b/>
          <w:bCs/>
          <w:sz w:val="24"/>
          <w:szCs w:val="24"/>
        </w:rPr>
        <w:t xml:space="preserve">Supplementary Figure S1. </w:t>
      </w:r>
      <w:r>
        <w:rPr>
          <w:rFonts w:ascii="Arial" w:hAnsi="Arial" w:cs="Arial"/>
          <w:b/>
          <w:bCs/>
          <w:i/>
          <w:iCs/>
          <w:sz w:val="24"/>
          <w:szCs w:val="24"/>
        </w:rPr>
        <w:t>KTN1-AS1</w:t>
      </w:r>
      <w:r>
        <w:rPr>
          <w:rFonts w:ascii="Arial" w:hAnsi="Arial" w:cs="Arial"/>
          <w:b/>
          <w:bCs/>
          <w:sz w:val="24"/>
          <w:szCs w:val="24"/>
        </w:rPr>
        <w:t xml:space="preserve"> facilitates ESCC cells proliferation, migration, and invasion.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>A, B</w:t>
      </w:r>
      <w:r>
        <w:rPr>
          <w:rFonts w:ascii="Arial" w:hAnsi="Arial" w:cs="Arial"/>
          <w:sz w:val="24"/>
          <w:szCs w:val="24"/>
        </w:rPr>
        <w:t xml:space="preserve"> MTS and clone formation assays demonstrate the cell proliferation ability in Eca109 cells with upregulation of </w:t>
      </w:r>
      <w:r>
        <w:rPr>
          <w:rFonts w:ascii="Arial" w:hAnsi="Arial" w:cs="Arial"/>
          <w:i/>
          <w:iCs/>
          <w:sz w:val="24"/>
          <w:szCs w:val="24"/>
        </w:rPr>
        <w:t>KTN1-AS1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b/>
          <w:bCs/>
          <w:sz w:val="24"/>
          <w:szCs w:val="24"/>
        </w:rPr>
        <w:t>C, D</w:t>
      </w:r>
      <w:r>
        <w:rPr>
          <w:rFonts w:ascii="Arial" w:hAnsi="Arial" w:cs="Arial"/>
          <w:sz w:val="24"/>
          <w:szCs w:val="24"/>
        </w:rPr>
        <w:t xml:space="preserve"> Wound healing and </w:t>
      </w:r>
      <w:proofErr w:type="spellStart"/>
      <w:r>
        <w:rPr>
          <w:rFonts w:ascii="Arial" w:hAnsi="Arial" w:cs="Arial"/>
          <w:sz w:val="24"/>
          <w:szCs w:val="24"/>
        </w:rPr>
        <w:t>transwell</w:t>
      </w:r>
      <w:proofErr w:type="spellEnd"/>
      <w:r>
        <w:rPr>
          <w:rFonts w:ascii="Arial" w:hAnsi="Arial" w:cs="Arial"/>
          <w:sz w:val="24"/>
          <w:szCs w:val="24"/>
        </w:rPr>
        <w:t xml:space="preserve"> invasion assays indicate the enhanced migration and invasion ability of Eca109 cells with upregulated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i/>
          <w:iCs/>
          <w:sz w:val="24"/>
          <w:szCs w:val="24"/>
        </w:rPr>
        <w:t>KTN1-AS1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b/>
          <w:bCs/>
          <w:sz w:val="24"/>
          <w:szCs w:val="24"/>
        </w:rPr>
        <w:t>E, F</w:t>
      </w:r>
      <w:r>
        <w:rPr>
          <w:rFonts w:ascii="Arial" w:hAnsi="Arial" w:cs="Arial"/>
          <w:sz w:val="24"/>
          <w:szCs w:val="24"/>
        </w:rPr>
        <w:t xml:space="preserve"> MTS and clone formation assays demonstrate the cell proliferation ability in </w:t>
      </w:r>
      <w:r>
        <w:rPr>
          <w:rFonts w:ascii="Arial" w:hAnsi="Arial" w:cs="Arial"/>
          <w:sz w:val="24"/>
          <w:szCs w:val="24"/>
        </w:rPr>
        <w:lastRenderedPageBreak/>
        <w:t xml:space="preserve">Kyse170 cells with downregulation of </w:t>
      </w:r>
      <w:r>
        <w:rPr>
          <w:rFonts w:ascii="Arial" w:hAnsi="Arial" w:cs="Arial"/>
          <w:i/>
          <w:iCs/>
          <w:sz w:val="24"/>
          <w:szCs w:val="24"/>
        </w:rPr>
        <w:t>KTN1-AS1</w:t>
      </w:r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b/>
          <w:bCs/>
          <w:sz w:val="24"/>
          <w:szCs w:val="24"/>
        </w:rPr>
        <w:t>G, H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Transwell</w:t>
      </w:r>
      <w:proofErr w:type="spellEnd"/>
      <w:r>
        <w:rPr>
          <w:rFonts w:ascii="Arial" w:hAnsi="Arial" w:cs="Arial"/>
          <w:sz w:val="24"/>
          <w:szCs w:val="24"/>
        </w:rPr>
        <w:t xml:space="preserve"> migration and invasion assays indicate the decreased migration and invasion ability with downregulate</w:t>
      </w:r>
      <w:r>
        <w:rPr>
          <w:rFonts w:ascii="Arial" w:hAnsi="Arial" w:cs="Arial"/>
          <w:sz w:val="24"/>
          <w:szCs w:val="24"/>
        </w:rPr>
        <w:t xml:space="preserve">d </w:t>
      </w:r>
      <w:r>
        <w:rPr>
          <w:rFonts w:ascii="Arial" w:hAnsi="Arial" w:cs="Arial"/>
          <w:i/>
          <w:iCs/>
          <w:sz w:val="24"/>
          <w:szCs w:val="24"/>
        </w:rPr>
        <w:t>KTN1-AS1</w:t>
      </w:r>
      <w:r>
        <w:rPr>
          <w:rFonts w:ascii="Arial" w:hAnsi="Arial" w:cs="Arial"/>
          <w:sz w:val="24"/>
          <w:szCs w:val="24"/>
        </w:rPr>
        <w:t>. Error bars are shown as mean ± SD from three replicate experiments (n = 3) (*</w:t>
      </w:r>
      <w:r>
        <w:rPr>
          <w:rFonts w:ascii="Arial" w:hAnsi="Arial" w:cs="Arial"/>
          <w:i/>
          <w:iCs/>
          <w:sz w:val="24"/>
          <w:szCs w:val="24"/>
        </w:rPr>
        <w:t>P</w:t>
      </w:r>
      <w:r>
        <w:rPr>
          <w:rFonts w:ascii="Arial" w:hAnsi="Arial" w:cs="Arial"/>
          <w:sz w:val="24"/>
          <w:szCs w:val="24"/>
        </w:rPr>
        <w:t xml:space="preserve"> &lt; 0.05, **</w:t>
      </w:r>
      <w:r>
        <w:rPr>
          <w:rFonts w:ascii="Arial" w:hAnsi="Arial" w:cs="Arial"/>
          <w:i/>
          <w:iCs/>
          <w:sz w:val="24"/>
          <w:szCs w:val="24"/>
        </w:rPr>
        <w:t>P</w:t>
      </w:r>
      <w:r>
        <w:rPr>
          <w:rFonts w:ascii="Arial" w:hAnsi="Arial" w:cs="Arial"/>
          <w:sz w:val="24"/>
          <w:szCs w:val="24"/>
        </w:rPr>
        <w:t xml:space="preserve"> &lt; 0.01, ***</w:t>
      </w:r>
      <w:r>
        <w:rPr>
          <w:rFonts w:ascii="Arial" w:hAnsi="Arial" w:cs="Arial"/>
          <w:i/>
          <w:iCs/>
          <w:sz w:val="24"/>
          <w:szCs w:val="24"/>
        </w:rPr>
        <w:t>P</w:t>
      </w:r>
      <w:r>
        <w:rPr>
          <w:rFonts w:ascii="Arial" w:hAnsi="Arial" w:cs="Arial"/>
          <w:sz w:val="24"/>
          <w:szCs w:val="24"/>
        </w:rPr>
        <w:t xml:space="preserve"> &lt; 0.001).</w:t>
      </w:r>
    </w:p>
    <w:p w14:paraId="51B99FEB" w14:textId="77777777" w:rsidR="004B7B3A" w:rsidRDefault="004B7B3A"/>
    <w:sectPr w:rsidR="004B7B3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B7B3A"/>
    <w:rsid w:val="004B7B3A"/>
    <w:rsid w:val="005C35C1"/>
    <w:rsid w:val="1E630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8A3C564"/>
  <w15:docId w15:val="{EE89AE6F-E098-49F5-B28F-46B6F856DD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110</Words>
  <Characters>631</Characters>
  <Application>Microsoft Office Word</Application>
  <DocSecurity>0</DocSecurity>
  <Lines>5</Lines>
  <Paragraphs>1</Paragraphs>
  <ScaleCrop>false</ScaleCrop>
  <Company/>
  <LinksUpToDate>false</LinksUpToDate>
  <CharactersWithSpaces>740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CL</dc:creator>
  <cp:lastModifiedBy>Chen Liying</cp:lastModifiedBy>
  <cp:revision>2</cp:revision>
  <dcterms:created xsi:type="dcterms:W3CDTF">2014-10-29T12:08:00Z</dcterms:created>
  <dcterms:modified xsi:type="dcterms:W3CDTF">2022-06-30T14:07:00Z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2052-10.8.2.7072</vt:lpwstr>
  </property>
</Properties>
</file>